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Toc451844181"/>
      <w:bookmarkStart w:id="1" w:name="_Toc466346620"/>
      <w:bookmarkStart w:id="2" w:name="_Toc466348853"/>
      <w:bookmarkStart w:id="3" w:name="_Toc436619251"/>
      <w:bookmarkStart w:id="4" w:name="_Toc436619014"/>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eastAsia="宋体" w:cs="Arial"/>
          <w:b/>
          <w:sz w:val="24"/>
          <w:szCs w:val="24"/>
          <w:lang w:val="en-US" w:eastAsia="zh-CN"/>
        </w:rPr>
        <w:t>10bis</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bookmarkStart w:id="12" w:name="_GoBack"/>
      <w:bookmarkEnd w:id="12"/>
      <w:r>
        <w:rPr>
          <w:rFonts w:hint="eastAsia" w:ascii="Arial" w:hAnsi="Arial" w:cs="Arial"/>
          <w:b/>
          <w:sz w:val="24"/>
          <w:szCs w:val="24"/>
        </w:rPr>
        <w:t>R4-2</w:t>
      </w:r>
      <w:r>
        <w:rPr>
          <w:rFonts w:hint="eastAsia" w:cs="Arial"/>
          <w:b/>
          <w:sz w:val="24"/>
          <w:szCs w:val="24"/>
          <w:lang w:val="en-US" w:eastAsia="zh-CN"/>
        </w:rPr>
        <w:t>404745</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default" w:cs="Arial"/>
          <w:b/>
          <w:sz w:val="24"/>
          <w:szCs w:val="24"/>
          <w:lang w:val="en-US"/>
        </w:rPr>
      </w:pPr>
      <w:r>
        <w:rPr>
          <w:rFonts w:ascii="Arial" w:hAnsi="Arial" w:eastAsia="宋体" w:cs="Arial"/>
          <w:b/>
          <w:sz w:val="24"/>
          <w:szCs w:val="24"/>
          <w:lang w:eastAsia="zh-CN"/>
        </w:rPr>
        <w:t>Changsha, China, 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w:t>
      </w:r>
      <w:r>
        <w:rPr>
          <w:rFonts w:hint="eastAsia" w:eastAsia="宋体" w:cs="Arial"/>
          <w:b/>
          <w:sz w:val="24"/>
          <w:szCs w:val="24"/>
          <w:lang w:val="en-US" w:eastAsia="zh-CN"/>
        </w:rPr>
        <w:t>4</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hint="eastAsia" w:cs="Arial"/>
          <w:b/>
          <w:sz w:val="24"/>
          <w:szCs w:val="24"/>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sz w:val="22"/>
        </w:rPr>
        <w:t>Source:</w:t>
      </w:r>
      <w:r>
        <w:rPr>
          <w:rFonts w:ascii="Arial" w:hAnsi="Arial" w:cs="Arial"/>
          <w:b/>
          <w:bCs w:val="0"/>
          <w:sz w:val="22"/>
        </w:rPr>
        <w:tab/>
      </w:r>
      <w:r>
        <w:rPr>
          <w:rFonts w:hint="eastAsia" w:ascii="Arial" w:hAnsi="Arial" w:cs="Arial"/>
          <w:b/>
          <w:bCs w:val="0"/>
          <w:color w:val="000000"/>
          <w:sz w:val="22"/>
          <w:lang w:val="en-US" w:eastAsia="zh-CN"/>
        </w:rPr>
        <w:t>China Unicom</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000000"/>
          <w:sz w:val="22"/>
          <w:lang w:eastAsia="zh-CN"/>
        </w:rPr>
      </w:pPr>
      <w:r>
        <w:rPr>
          <w:rFonts w:ascii="Arial" w:hAnsi="Arial" w:cs="Arial"/>
          <w:b/>
          <w:bCs w:val="0"/>
          <w:color w:val="000000"/>
          <w:sz w:val="22"/>
        </w:rPr>
        <w:t>Title:</w:t>
      </w:r>
      <w:r>
        <w:rPr>
          <w:rFonts w:ascii="Arial" w:hAnsi="Arial" w:cs="Arial"/>
          <w:b/>
          <w:bCs w:val="0"/>
          <w:color w:val="000000"/>
          <w:sz w:val="22"/>
        </w:rPr>
        <w:tab/>
      </w:r>
      <w:bookmarkStart w:id="5" w:name="OLE_LINK1"/>
      <w:r>
        <w:rPr>
          <w:rFonts w:hint="eastAsia" w:ascii="Arial" w:hAnsi="Arial" w:cs="Arial"/>
          <w:b/>
          <w:bCs w:val="0"/>
          <w:color w:val="000000"/>
          <w:sz w:val="22"/>
        </w:rPr>
        <w:t>Discussions on TDD intra-band CA HPUE</w:t>
      </w:r>
      <w:r>
        <w:rPr>
          <w:rFonts w:hint="eastAsia" w:ascii="Arial" w:hAnsi="Arial" w:eastAsia="宋体" w:cs="Arial"/>
          <w:b/>
          <w:bCs w:val="0"/>
          <w:color w:val="000000"/>
          <w:sz w:val="22"/>
          <w:lang w:val="en-US" w:eastAsia="zh-CN"/>
        </w:rPr>
        <w:t xml:space="preserve"> </w:t>
      </w:r>
      <w:bookmarkEnd w:id="5"/>
    </w:p>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color w:val="000000"/>
          <w:sz w:val="22"/>
          <w:lang w:val="pt-BR"/>
        </w:rPr>
        <w:t>Agenda item:</w:t>
      </w:r>
      <w:r>
        <w:rPr>
          <w:rFonts w:ascii="Arial" w:hAnsi="Arial" w:cs="Arial"/>
          <w:b/>
          <w:bCs w:val="0"/>
          <w:color w:val="000000"/>
          <w:sz w:val="22"/>
          <w:lang w:val="pt-BR"/>
        </w:rPr>
        <w:tab/>
      </w:r>
      <w:r>
        <w:rPr>
          <w:rFonts w:hint="eastAsia" w:ascii="Arial" w:hAnsi="Arial" w:cs="Arial"/>
          <w:b/>
          <w:bCs w:val="0"/>
          <w:color w:val="000000"/>
          <w:sz w:val="22"/>
          <w:lang w:val="pt-BR" w:eastAsia="ja-JP"/>
        </w:rPr>
        <w:tab/>
      </w:r>
      <w:r>
        <w:rPr>
          <w:rFonts w:hint="eastAsia" w:ascii="Arial" w:hAnsi="Arial" w:cs="Arial"/>
          <w:b/>
          <w:bCs w:val="0"/>
          <w:color w:val="000000"/>
          <w:sz w:val="22"/>
          <w:lang w:val="pt-BR" w:eastAsia="ja-JP"/>
        </w:rPr>
        <w:tab/>
      </w:r>
      <w:r>
        <w:rPr>
          <w:rFonts w:hint="eastAsia" w:ascii="Arial" w:hAnsi="Arial" w:eastAsia="宋体" w:cs="Arial"/>
          <w:b/>
          <w:bCs w:val="0"/>
          <w:color w:val="000000"/>
          <w:sz w:val="22"/>
          <w:lang w:val="en-US" w:eastAsia="zh-CN"/>
        </w:rPr>
        <w:t>9.1.2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sz w:val="22"/>
          <w:lang w:val="en-US" w:eastAsia="zh-CN"/>
        </w:rPr>
      </w:pPr>
      <w:r>
        <w:rPr>
          <w:rFonts w:ascii="Arial" w:hAnsi="Arial" w:cs="Arial"/>
          <w:b/>
          <w:bCs w:val="0"/>
          <w:color w:val="000000"/>
          <w:sz w:val="22"/>
        </w:rPr>
        <w:t>Document for:</w:t>
      </w:r>
      <w:r>
        <w:rPr>
          <w:rFonts w:ascii="Arial" w:hAnsi="Arial" w:cs="Arial"/>
          <w:b/>
          <w:bCs w:val="0"/>
          <w:color w:val="000000"/>
          <w:sz w:val="22"/>
        </w:rPr>
        <w:tab/>
      </w:r>
      <w:r>
        <w:rPr>
          <w:rFonts w:hint="eastAsia" w:ascii="Arial" w:hAnsi="Arial" w:eastAsia="宋体" w:cs="Arial"/>
          <w:b/>
          <w:bCs w:val="0"/>
          <w:color w:val="000000"/>
          <w:sz w:val="22"/>
          <w:lang w:val="en-US" w:eastAsia="zh-CN"/>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val="en-US" w:eastAsia="zh-CN"/>
        </w:rPr>
        <w:t>In RAN-103 meeting, new Rel-19 WID[1] on UE RF enhancements for NR FR1/FR2 and EN-DC was approved, where companies found necessary to further increase the power class for TDD Intra-band CA scenarios into PC1.5. The objective part is copied below:</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default" w:eastAsia="宋体"/>
          <w:lang w:val="en-US" w:eastAsia="zh-CN"/>
        </w:rPr>
        <w:t>“</w:t>
      </w:r>
    </w:p>
    <w:p>
      <w:pPr>
        <w:pStyle w:val="184"/>
        <w:numPr>
          <w:ilvl w:val="1"/>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Power class 1.5 (PC1.5) UE for NR TDD intra-band UL contiguous and non-contiguous CA with 2Tx</w:t>
      </w:r>
    </w:p>
    <w:p>
      <w:pPr>
        <w:pStyle w:val="184"/>
        <w:numPr>
          <w:ilvl w:val="2"/>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Specify the requirements for intra-band UL contiguous CA with or without UL-MIMO</w:t>
      </w:r>
    </w:p>
    <w:p>
      <w:pPr>
        <w:pStyle w:val="184"/>
        <w:numPr>
          <w:ilvl w:val="3"/>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 xml:space="preserve">Example band combinations: </w:t>
      </w:r>
    </w:p>
    <w:p>
      <w:pPr>
        <w:pStyle w:val="184"/>
        <w:numPr>
          <w:ilvl w:val="4"/>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CA_n41C, CA_n78C, CA_n77C, CA_n79C for intra-band uplink contiguous CA configurations</w:t>
      </w:r>
    </w:p>
    <w:p>
      <w:pPr>
        <w:pStyle w:val="184"/>
        <w:numPr>
          <w:ilvl w:val="3"/>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Focus on the maximum output power (MOP), MPR/A-MPR requirements, SAR solution</w:t>
      </w:r>
    </w:p>
    <w:p>
      <w:pPr>
        <w:pStyle w:val="184"/>
        <w:numPr>
          <w:ilvl w:val="2"/>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Specify the requirements for intra-band UL non-contiguous CA without UL-MIMO</w:t>
      </w:r>
    </w:p>
    <w:p>
      <w:pPr>
        <w:pStyle w:val="184"/>
        <w:numPr>
          <w:ilvl w:val="3"/>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 xml:space="preserve">Example band combinations: </w:t>
      </w:r>
    </w:p>
    <w:p>
      <w:pPr>
        <w:pStyle w:val="184"/>
        <w:numPr>
          <w:ilvl w:val="4"/>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CA_n78(2A), CA_n77(2A) for intra-band uplink non-contiguous CA configurations</w:t>
      </w:r>
    </w:p>
    <w:p>
      <w:pPr>
        <w:pStyle w:val="184"/>
        <w:numPr>
          <w:ilvl w:val="3"/>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Focus on the maximum output power (MOP), MPR/A-MPR requirements, SAR solution</w:t>
      </w:r>
    </w:p>
    <w:p>
      <w:pPr>
        <w:pStyle w:val="184"/>
        <w:numPr>
          <w:ilvl w:val="2"/>
          <w:numId w:val="20"/>
        </w:numPr>
        <w:ind w:firstLineChars="0"/>
        <w:jc w:val="left"/>
        <w:rPr>
          <w:rFonts w:ascii="Times New Roman" w:hAnsi="Times New Roman" w:cs="Times New Roman"/>
          <w:i/>
          <w:iCs/>
          <w:sz w:val="20"/>
          <w:szCs w:val="20"/>
        </w:rPr>
      </w:pPr>
      <w:r>
        <w:rPr>
          <w:rFonts w:ascii="Times New Roman" w:hAnsi="Times New Roman" w:cs="Times New Roman"/>
          <w:i/>
          <w:iCs/>
          <w:sz w:val="20"/>
          <w:szCs w:val="20"/>
        </w:rPr>
        <w:t>NOTE: leave the other band combination specific requirements to the corresponding Rel-19 basket WIs</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default" w:eastAsia="宋体"/>
          <w:lang w:val="en-US" w:eastAsia="zh-CN"/>
        </w:rPr>
        <w:t>”</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eastAsia" w:eastAsia="宋体"/>
          <w:lang w:val="en-US" w:eastAsia="zh-CN"/>
        </w:rPr>
        <w:t>In this contribution,  we share our considerations on the maximum output power (MOP), and SAR solution.</w:t>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eastAsia="zh-CN"/>
        </w:rPr>
        <w:t>2</w:t>
      </w:r>
      <w:r>
        <w:rPr>
          <w:rFonts w:hint="eastAsia"/>
          <w:lang w:eastAsia="ja-JP"/>
        </w:rPr>
        <w:t xml:space="preserve">. </w:t>
      </w:r>
      <w:r>
        <w:rPr>
          <w:rFonts w:hint="eastAsia" w:eastAsia="宋体"/>
          <w:lang w:val="en-US" w:eastAsia="zh-CN"/>
        </w:rPr>
        <w:t>Discussion</w:t>
      </w:r>
    </w:p>
    <w:p>
      <w:pPr>
        <w:rPr>
          <w:rFonts w:hint="default" w:eastAsia="宋体"/>
          <w:bCs/>
          <w:lang w:val="en-US" w:eastAsia="zh-CN"/>
        </w:rPr>
      </w:pPr>
      <w:r>
        <w:rPr>
          <w:rFonts w:hint="eastAsia" w:eastAsia="Times New Roman"/>
          <w:bCs/>
          <w:lang w:val="en-US" w:eastAsia="zh-CN"/>
        </w:rPr>
        <w:t xml:space="preserve">So far, the PC1.5 is defined for NR single carrier, with maximum UE power of 29dBm, and a tolerance of  </w:t>
      </w:r>
      <w:r>
        <w:t>+2/-3</w:t>
      </w:r>
      <w:r>
        <w:rPr>
          <w:rFonts w:hint="eastAsia" w:eastAsia="宋体"/>
          <w:lang w:val="en-US" w:eastAsia="zh-CN"/>
        </w:rPr>
        <w:t xml:space="preserve">dB. In order to keep the consistency of power class definition among different UL combinations, it is proposed to reuse the existing PC1.5 definition for NR single carrier onto PC1.5 for NR TDD Intra-band UL CA cases, i.e. 29dBm maximum power and </w:t>
      </w:r>
      <w:r>
        <w:t>+2/-3</w:t>
      </w:r>
      <w:r>
        <w:rPr>
          <w:rFonts w:hint="eastAsia" w:eastAsia="宋体"/>
          <w:lang w:val="en-US" w:eastAsia="zh-CN"/>
        </w:rPr>
        <w:t>dB tolerance.</w:t>
      </w:r>
    </w:p>
    <w:p>
      <w:pPr>
        <w:rPr>
          <w:rFonts w:hint="eastAsia"/>
          <w:lang w:val="en-US" w:eastAsia="zh-CN"/>
        </w:rPr>
      </w:pPr>
      <w:r>
        <w:rPr>
          <w:rFonts w:hint="eastAsia" w:eastAsia="Times New Roman"/>
          <w:b/>
          <w:bCs w:val="0"/>
          <w:lang w:val="en-US" w:eastAsia="zh-CN"/>
        </w:rPr>
        <w:t>Proposal 1:  Keep the power class definition consistent by reusing PC1.5 values for NR single carrier MOP for NR TDD Intra-band UL CA, i.e. 29dBm maximum power and +2/-3dB tolerance.</w:t>
      </w:r>
    </w:p>
    <w:p>
      <w:pPr>
        <w:rPr>
          <w:rFonts w:hint="eastAsia" w:eastAsia="Times New Roman"/>
          <w:b w:val="0"/>
          <w:bCs/>
          <w:lang w:val="en-US" w:eastAsia="zh-CN"/>
        </w:rPr>
      </w:pPr>
    </w:p>
    <w:p>
      <w:pPr>
        <w:rPr>
          <w:rFonts w:hint="default" w:eastAsia="宋体"/>
          <w:b w:val="0"/>
          <w:bCs/>
          <w:i w:val="0"/>
          <w:iCs/>
          <w:lang w:val="en-US" w:eastAsia="zh-CN"/>
        </w:rPr>
      </w:pPr>
      <w:r>
        <w:rPr>
          <w:rFonts w:hint="eastAsia" w:eastAsia="Times New Roman"/>
          <w:b w:val="0"/>
          <w:bCs/>
          <w:lang w:val="en-US" w:eastAsia="zh-CN"/>
        </w:rPr>
        <w:t xml:space="preserve">The duty cycle reporting mechanism had been widely used as the SAR solution for various types of HPUE, and it was also introduced for PC2 TDD Intra-band CA, as stated in 6.2A.1.1 section in TS38.101-1. In order to keep the consistency for the SAR solution, it is proposed to reuse the available solution by reporting </w:t>
      </w:r>
      <w:r>
        <w:t xml:space="preserve">UE capability </w:t>
      </w:r>
      <w:r>
        <w:rPr>
          <w:i/>
        </w:rPr>
        <w:t>maxUplinkDutyCycle-PC2-FR1</w:t>
      </w:r>
      <w:r>
        <w:rPr>
          <w:rFonts w:hint="eastAsia" w:eastAsia="宋体"/>
          <w:i w:val="0"/>
          <w:iCs/>
          <w:lang w:val="en-US" w:eastAsia="zh-CN"/>
        </w:rPr>
        <w:t>, but the default duty cycle value (i.e. 50%) might need to be revisited to ensure SAR is not violated on higher transmit power at PC1.5.</w:t>
      </w:r>
    </w:p>
    <w:p>
      <w:pPr>
        <w:rPr>
          <w:rFonts w:hint="default" w:eastAsia="Times New Roman"/>
          <w:b/>
          <w:bCs w:val="0"/>
          <w:lang w:val="en-US" w:eastAsia="zh-CN"/>
        </w:rPr>
      </w:pPr>
      <w:r>
        <w:rPr>
          <w:rFonts w:hint="eastAsia" w:eastAsia="Times New Roman"/>
          <w:b/>
          <w:bCs w:val="0"/>
          <w:lang w:val="en-US" w:eastAsia="zh-CN"/>
        </w:rPr>
        <w:t xml:space="preserve">Proposal 2: Reuse the existing duty cycle reporting as optional SAR solution for PC1.5 TDD Intra-band CA HPUE, and revisit the default duty cycle value if needed to ensure SAR is not violated on PC1.5. </w:t>
      </w:r>
    </w:p>
    <w:p>
      <w:pPr>
        <w:rPr>
          <w:rFonts w:hint="eastAsia" w:eastAsia="Times New Roman"/>
          <w:bCs/>
          <w:lang w:val="en-US" w:eastAsia="en-GB"/>
        </w:rPr>
      </w:pPr>
      <w:r>
        <w:rPr>
          <w:rFonts w:hint="eastAsia" w:eastAsia="Times New Roman"/>
          <w:bCs/>
          <w:lang w:val="en-US" w:eastAsia="en-GB"/>
        </w:rPr>
        <w:tab/>
      </w:r>
      <w:r>
        <w:rPr>
          <w:rFonts w:hint="eastAsia" w:eastAsia="Times New Roman"/>
          <w:bCs/>
          <w:lang w:val="en-US" w:eastAsia="en-GB"/>
        </w:rPr>
        <w:tab/>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val="en-US" w:eastAsia="zh-CN"/>
        </w:rPr>
        <w:t>3</w:t>
      </w:r>
      <w:r>
        <w:rPr>
          <w:rFonts w:hint="eastAsia"/>
          <w:lang w:eastAsia="ja-JP"/>
        </w:rPr>
        <w:t xml:space="preserve">. </w:t>
      </w:r>
      <w:r>
        <w:rPr>
          <w:rFonts w:hint="eastAsia" w:eastAsia="宋体"/>
          <w:lang w:val="en-US" w:eastAsia="zh-CN"/>
        </w:rPr>
        <w:t>Conclusion</w:t>
      </w:r>
    </w:p>
    <w:p>
      <w:pPr>
        <w:keepNext/>
        <w:keepLines/>
        <w:pageBreakBefore w:val="0"/>
        <w:widowControl/>
        <w:kinsoku/>
        <w:wordWrap/>
        <w:overflowPunct/>
        <w:topLinePunct w:val="0"/>
        <w:autoSpaceDE/>
        <w:autoSpaceDN/>
        <w:bidi w:val="0"/>
        <w:adjustRightInd/>
        <w:snapToGrid/>
        <w:textAlignment w:val="auto"/>
        <w:rPr>
          <w:lang w:val="zh-CN"/>
        </w:rPr>
      </w:pPr>
      <w:r>
        <w:rPr>
          <w:rFonts w:hint="eastAsia" w:eastAsia="宋体" w:cs="Times New Roman"/>
          <w:i w:val="0"/>
          <w:iCs w:val="0"/>
          <w:color w:val="000000"/>
          <w:kern w:val="0"/>
          <w:sz w:val="20"/>
          <w:szCs w:val="20"/>
          <w:u w:val="none"/>
          <w:lang w:val="en-US" w:eastAsia="zh-CN" w:bidi="ar"/>
        </w:rPr>
        <w:t xml:space="preserve">In this contribution, we shared our views on </w:t>
      </w:r>
      <w:r>
        <w:rPr>
          <w:rFonts w:hint="eastAsia" w:eastAsia="宋体"/>
          <w:lang w:val="en-US" w:eastAsia="zh-CN"/>
        </w:rPr>
        <w:t>the maximum output power (MOP) and SAR solution for NR PC1.5 TDD Intra-band CA HPUE</w:t>
      </w:r>
      <w:r>
        <w:rPr>
          <w:rFonts w:hint="eastAsia" w:eastAsia="宋体" w:cs="Times New Roman"/>
          <w:i w:val="0"/>
          <w:iCs w:val="0"/>
          <w:color w:val="000000"/>
          <w:kern w:val="0"/>
          <w:sz w:val="20"/>
          <w:szCs w:val="20"/>
          <w:u w:val="none"/>
          <w:lang w:val="en-US" w:eastAsia="zh-CN" w:bidi="ar"/>
        </w:rPr>
        <w:t>, and made the following proposals:</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pPr>
        <w:rPr>
          <w:rFonts w:hint="eastAsia" w:eastAsia="Times New Roman"/>
          <w:b/>
          <w:bCs w:val="0"/>
          <w:lang w:val="en-US" w:eastAsia="zh-CN"/>
        </w:rPr>
      </w:pPr>
      <w:r>
        <w:rPr>
          <w:rFonts w:hint="eastAsia" w:eastAsia="Times New Roman"/>
          <w:b/>
          <w:bCs w:val="0"/>
          <w:lang w:val="en-US" w:eastAsia="zh-CN"/>
        </w:rPr>
        <w:t>Proposal 1: Keep the power class definition consistent by reusing PC1.5 values for NR single carrier MOP for NR TDD Intra-band UL CA, i.e. 29dBm maximum power and +2/-3dB tolerance.</w:t>
      </w:r>
    </w:p>
    <w:p>
      <w:pPr>
        <w:rPr>
          <w:rFonts w:hint="default" w:eastAsia="Times New Roman"/>
          <w:b/>
          <w:bCs w:val="0"/>
          <w:lang w:val="en-US" w:eastAsia="zh-CN"/>
        </w:rPr>
      </w:pPr>
      <w:r>
        <w:rPr>
          <w:rFonts w:hint="eastAsia" w:eastAsia="Times New Roman"/>
          <w:b/>
          <w:bCs w:val="0"/>
          <w:lang w:val="en-US" w:eastAsia="zh-CN"/>
        </w:rPr>
        <w:t>Proposal 2: Reuse the existing duty cycle reporting as optional SAR solution for PC1.5 TDD Intra-band CA HPUE, and revisit the default duty cycle value if needed to ensure SAR is not violated on PC1.5.</w:t>
      </w:r>
    </w:p>
    <w:p>
      <w:pPr>
        <w:keepNext/>
        <w:keepLines/>
        <w:pageBreakBefore w:val="0"/>
        <w:widowControl/>
        <w:kinsoku/>
        <w:wordWrap/>
        <w:overflowPunct/>
        <w:topLinePunct w:val="0"/>
        <w:autoSpaceDE/>
        <w:autoSpaceDN/>
        <w:bidi w:val="0"/>
        <w:adjustRightInd/>
        <w:snapToGrid/>
        <w:ind w:left="1200" w:hanging="1200" w:hangingChars="600"/>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bookmarkStart w:id="6" w:name="OLE_LINK4"/>
      <w:r>
        <w:rPr>
          <w:rFonts w:hint="eastAsia" w:eastAsia="宋体"/>
          <w:lang w:val="en-US" w:eastAsia="zh-CN"/>
        </w:rPr>
        <w:t>3</w:t>
      </w:r>
      <w:r>
        <w:rPr>
          <w:rFonts w:hint="eastAsia"/>
          <w:lang w:eastAsia="ja-JP"/>
        </w:rPr>
        <w:t xml:space="preserve">. </w:t>
      </w:r>
      <w:bookmarkStart w:id="7" w:name="_Toc443593759"/>
      <w:bookmarkStart w:id="8" w:name="_Toc492044144"/>
      <w:bookmarkStart w:id="9" w:name="_Toc492043890"/>
      <w:bookmarkStart w:id="10" w:name="_Toc460338137"/>
      <w:bookmarkStart w:id="11" w:name="_Toc494295307"/>
      <w:r>
        <w:rPr>
          <w:rFonts w:hint="eastAsia" w:eastAsia="宋体"/>
          <w:lang w:val="en-US" w:eastAsia="zh-CN"/>
        </w:rPr>
        <w:t>Reference</w:t>
      </w:r>
    </w:p>
    <w:bookmarkEnd w:id="0"/>
    <w:bookmarkEnd w:id="1"/>
    <w:bookmarkEnd w:id="2"/>
    <w:bookmarkEnd w:id="3"/>
    <w:bookmarkEnd w:id="4"/>
    <w:bookmarkEnd w:id="6"/>
    <w:bookmarkEnd w:id="7"/>
    <w:bookmarkEnd w:id="8"/>
    <w:bookmarkEnd w:id="9"/>
    <w:bookmarkEnd w:id="10"/>
    <w:bookmarkEnd w:id="11"/>
    <w:p>
      <w:pPr>
        <w:keepNext/>
        <w:keepLines/>
        <w:pageBreakBefore w:val="0"/>
        <w:widowControl/>
        <w:kinsoku/>
        <w:wordWrap/>
        <w:overflowPunct/>
        <w:topLinePunct w:val="0"/>
        <w:autoSpaceDE/>
        <w:autoSpaceDN/>
        <w:bidi w:val="0"/>
        <w:adjustRightInd/>
        <w:snapToGrid/>
        <w:textAlignment w:val="auto"/>
        <w:rPr>
          <w:lang w:val="zh-CN"/>
        </w:rPr>
      </w:pPr>
      <w:r>
        <w:rPr>
          <w:rFonts w:hint="eastAsia" w:eastAsia="宋体" w:cs="Times New Roman"/>
          <w:i w:val="0"/>
          <w:iCs w:val="0"/>
          <w:color w:val="000000"/>
          <w:kern w:val="0"/>
          <w:sz w:val="20"/>
          <w:szCs w:val="20"/>
          <w:u w:val="none"/>
          <w:lang w:val="en-US" w:eastAsia="zh-CN" w:bidi="ar"/>
        </w:rPr>
        <w:t>[1] RP-240828</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New WID: UE RF enhancements for NR FR1/FR2 and EN-DC, Phase 4</w:t>
      </w:r>
      <w:r>
        <w:rPr>
          <w:rFonts w:hint="eastAsia" w:eastAsia="宋体" w:cs="Times New Roman"/>
          <w:i w:val="0"/>
          <w:iCs w:val="0"/>
          <w:color w:val="000000"/>
          <w:kern w:val="0"/>
          <w:sz w:val="20"/>
          <w:szCs w:val="20"/>
          <w:u w:val="none"/>
          <w:lang w:val="en-US" w:eastAsia="zh-CN" w:bidi="ar"/>
        </w:rPr>
        <w:t>, RAN4 chair (Huawei)</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ab/>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iagramTTSmooth"/>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iagramTTSmooth">
    <w:panose1 w:val="02000500000000000000"/>
    <w:charset w:val="00"/>
    <w:family w:val="auto"/>
    <w:pitch w:val="default"/>
    <w:sig w:usb0="00000003" w:usb1="10000000" w:usb2="00000000" w:usb3="00000000" w:csb0="2000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9">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1">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3"/>
  </w:num>
  <w:num w:numId="2">
    <w:abstractNumId w:val="5"/>
  </w:num>
  <w:num w:numId="3">
    <w:abstractNumId w:val="10"/>
  </w:num>
  <w:num w:numId="4">
    <w:abstractNumId w:val="18"/>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9"/>
  </w:num>
  <w:num w:numId="16">
    <w:abstractNumId w:val="7"/>
  </w:num>
  <w:num w:numId="17">
    <w:abstractNumId w:val="15"/>
  </w:num>
  <w:num w:numId="18">
    <w:abstractNumId w:val="17"/>
  </w:num>
  <w:num w:numId="19">
    <w:abstractNumId w:val="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yMzJkOGNiMDEyZDQzM2FkNGM4ODJmZGE4NDczMDMifQ=="/>
  </w:docVars>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6C3B"/>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20237DB"/>
    <w:rsid w:val="02485D48"/>
    <w:rsid w:val="02A544AC"/>
    <w:rsid w:val="036D3295"/>
    <w:rsid w:val="04007D23"/>
    <w:rsid w:val="040B26AC"/>
    <w:rsid w:val="065D08C7"/>
    <w:rsid w:val="07292330"/>
    <w:rsid w:val="080D364F"/>
    <w:rsid w:val="0C185FB3"/>
    <w:rsid w:val="0C4F65D3"/>
    <w:rsid w:val="0DC06F7D"/>
    <w:rsid w:val="0DF11FE9"/>
    <w:rsid w:val="0ECD0BBE"/>
    <w:rsid w:val="0F2365E1"/>
    <w:rsid w:val="10015F84"/>
    <w:rsid w:val="1003384E"/>
    <w:rsid w:val="102E74CD"/>
    <w:rsid w:val="10FB5DE4"/>
    <w:rsid w:val="11D27C34"/>
    <w:rsid w:val="12486260"/>
    <w:rsid w:val="139C1C48"/>
    <w:rsid w:val="14002B2D"/>
    <w:rsid w:val="140724AA"/>
    <w:rsid w:val="14712411"/>
    <w:rsid w:val="14C12440"/>
    <w:rsid w:val="15875CAB"/>
    <w:rsid w:val="15A92EF0"/>
    <w:rsid w:val="15C34910"/>
    <w:rsid w:val="18CC1B05"/>
    <w:rsid w:val="1A797A20"/>
    <w:rsid w:val="1B1F7359"/>
    <w:rsid w:val="1BAD115C"/>
    <w:rsid w:val="1C4934AD"/>
    <w:rsid w:val="1D01767B"/>
    <w:rsid w:val="1E391716"/>
    <w:rsid w:val="1EAC2360"/>
    <w:rsid w:val="1F18033A"/>
    <w:rsid w:val="1F6C111A"/>
    <w:rsid w:val="1F6F0D0D"/>
    <w:rsid w:val="230B4AFC"/>
    <w:rsid w:val="232C678A"/>
    <w:rsid w:val="245B7A20"/>
    <w:rsid w:val="24A81827"/>
    <w:rsid w:val="253E2219"/>
    <w:rsid w:val="25E07777"/>
    <w:rsid w:val="269F0579"/>
    <w:rsid w:val="26B06ED8"/>
    <w:rsid w:val="27B46B20"/>
    <w:rsid w:val="288156D2"/>
    <w:rsid w:val="28C57BF0"/>
    <w:rsid w:val="29206E0A"/>
    <w:rsid w:val="295A58B5"/>
    <w:rsid w:val="29EE1048"/>
    <w:rsid w:val="2AA158CE"/>
    <w:rsid w:val="2AA207FC"/>
    <w:rsid w:val="2AAD29B4"/>
    <w:rsid w:val="2B9A5D2A"/>
    <w:rsid w:val="2B9D27C4"/>
    <w:rsid w:val="2BCE3A4E"/>
    <w:rsid w:val="2BE13809"/>
    <w:rsid w:val="2C3575F4"/>
    <w:rsid w:val="2D7347AB"/>
    <w:rsid w:val="2D836FAE"/>
    <w:rsid w:val="2DB40554"/>
    <w:rsid w:val="2DC95828"/>
    <w:rsid w:val="2E645767"/>
    <w:rsid w:val="2E8E5BE8"/>
    <w:rsid w:val="2EA81C84"/>
    <w:rsid w:val="3111477D"/>
    <w:rsid w:val="3264569C"/>
    <w:rsid w:val="34793856"/>
    <w:rsid w:val="34B24889"/>
    <w:rsid w:val="35433A1F"/>
    <w:rsid w:val="35A875A9"/>
    <w:rsid w:val="37497525"/>
    <w:rsid w:val="38A62ACC"/>
    <w:rsid w:val="39317DFF"/>
    <w:rsid w:val="3A535F8A"/>
    <w:rsid w:val="3B4C1903"/>
    <w:rsid w:val="3DD4175C"/>
    <w:rsid w:val="3EF90D13"/>
    <w:rsid w:val="40D11078"/>
    <w:rsid w:val="411E7D6B"/>
    <w:rsid w:val="415B6A48"/>
    <w:rsid w:val="416B763F"/>
    <w:rsid w:val="417C64F1"/>
    <w:rsid w:val="42D939AC"/>
    <w:rsid w:val="44112884"/>
    <w:rsid w:val="445C2631"/>
    <w:rsid w:val="44A024A3"/>
    <w:rsid w:val="44F178FF"/>
    <w:rsid w:val="45664E0D"/>
    <w:rsid w:val="48111EDC"/>
    <w:rsid w:val="482C1C02"/>
    <w:rsid w:val="4892518E"/>
    <w:rsid w:val="49136B5D"/>
    <w:rsid w:val="4951526D"/>
    <w:rsid w:val="496C2BDC"/>
    <w:rsid w:val="4A921676"/>
    <w:rsid w:val="4AEA5FF2"/>
    <w:rsid w:val="4C9C762E"/>
    <w:rsid w:val="4EB5433B"/>
    <w:rsid w:val="50972114"/>
    <w:rsid w:val="50986E87"/>
    <w:rsid w:val="50D301C5"/>
    <w:rsid w:val="50D502CE"/>
    <w:rsid w:val="512E589D"/>
    <w:rsid w:val="51996989"/>
    <w:rsid w:val="52ED299A"/>
    <w:rsid w:val="531B1529"/>
    <w:rsid w:val="53301BD0"/>
    <w:rsid w:val="534B60B7"/>
    <w:rsid w:val="53766092"/>
    <w:rsid w:val="53904041"/>
    <w:rsid w:val="540A3136"/>
    <w:rsid w:val="541232E6"/>
    <w:rsid w:val="54C459FF"/>
    <w:rsid w:val="55511CBA"/>
    <w:rsid w:val="55E33C01"/>
    <w:rsid w:val="57B6634E"/>
    <w:rsid w:val="586E5BBD"/>
    <w:rsid w:val="59977B0A"/>
    <w:rsid w:val="59B36ED1"/>
    <w:rsid w:val="5A786512"/>
    <w:rsid w:val="5CBD13C9"/>
    <w:rsid w:val="5E460190"/>
    <w:rsid w:val="5FFD3EC4"/>
    <w:rsid w:val="612956DC"/>
    <w:rsid w:val="6163616F"/>
    <w:rsid w:val="61A364ED"/>
    <w:rsid w:val="62E072E1"/>
    <w:rsid w:val="62E66E22"/>
    <w:rsid w:val="630A78B5"/>
    <w:rsid w:val="642965FD"/>
    <w:rsid w:val="64391BF1"/>
    <w:rsid w:val="65BC2563"/>
    <w:rsid w:val="66A56E84"/>
    <w:rsid w:val="66A85AF9"/>
    <w:rsid w:val="675416CD"/>
    <w:rsid w:val="67C04BAB"/>
    <w:rsid w:val="6834720A"/>
    <w:rsid w:val="69117109"/>
    <w:rsid w:val="6A1139DE"/>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0268A8"/>
    <w:rsid w:val="76214719"/>
    <w:rsid w:val="762479B9"/>
    <w:rsid w:val="76B6603F"/>
    <w:rsid w:val="7734774E"/>
    <w:rsid w:val="7B526452"/>
    <w:rsid w:val="7B740137"/>
    <w:rsid w:val="7B816224"/>
    <w:rsid w:val="7C3F43C6"/>
    <w:rsid w:val="7CA7248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autoRedefine/>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autoRedefine/>
    <w:qFormat/>
    <w:uiPriority w:val="0"/>
    <w:pPr>
      <w:ind w:left="851"/>
    </w:pPr>
  </w:style>
  <w:style w:type="paragraph" w:styleId="14">
    <w:name w:val="List"/>
    <w:basedOn w:val="1"/>
    <w:link w:val="229"/>
    <w:autoRedefine/>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autoRedefine/>
    <w:qFormat/>
    <w:uiPriority w:val="39"/>
    <w:pPr>
      <w:tabs>
        <w:tab w:val="right" w:leader="dot" w:pos="9639"/>
      </w:tabs>
      <w:ind w:left="1134" w:hanging="1134"/>
    </w:pPr>
  </w:style>
  <w:style w:type="paragraph" w:styleId="20">
    <w:name w:val="toc 2"/>
    <w:basedOn w:val="21"/>
    <w:next w:val="1"/>
    <w:autoRedefine/>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autoRedefine/>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autoRedefine/>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autoRedefine/>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autoRedefine/>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autoRedefine/>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autoRedefine/>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autoRedefine/>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autoRedefine/>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autoRedefine/>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 w:type="paragraph" w:customStyle="1" w:styleId="580">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E10D17FE-3FCD-4FF3-93B9-BB567C9A307A}">
  <ds:schemaRefs/>
</ds:datastoreItem>
</file>

<file path=customXml/itemProps4.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1</TotalTime>
  <ScaleCrop>false</ScaleCrop>
  <LinksUpToDate>false</LinksUpToDate>
  <CharactersWithSpaces>1924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basel</cp:lastModifiedBy>
  <cp:lastPrinted>2013-07-05T12:11:00Z</cp:lastPrinted>
  <dcterms:modified xsi:type="dcterms:W3CDTF">2024-04-08T12:44:31Z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2052-12.1.0.16250</vt:lpwstr>
  </property>
  <property fmtid="{D5CDD505-2E9C-101B-9397-08002B2CF9AE}" pid="5" name="ICV">
    <vt:lpwstr>2D069A0587234FE9828DBFC3456F3DCE_13</vt:lpwstr>
  </property>
</Properties>
</file>